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540"/>
        <w:jc w:val="center"/>
      </w:pPr>
      <w:r w:rsidRPr="004632BA">
        <w:t>Аналитическая справка о достижении целей введения обязательных требований, содержащихся в муниципальном нормативном правовом акте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720"/>
        <w:jc w:val="center"/>
        <w:outlineLvl w:val="1"/>
      </w:pP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720"/>
        <w:jc w:val="center"/>
        <w:outlineLvl w:val="1"/>
      </w:pPr>
      <w:r w:rsidRPr="004632BA">
        <w:t>1. Общая информация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4632BA">
        <w:t xml:space="preserve">1.1. Вид и наименование муниципального нормативного правового акта: </w:t>
      </w:r>
      <w:r w:rsidRPr="007050A0">
        <w:t>Решение 12-ой сессии (7-ого созыва) Совета депутатов города Болотное Болотнинского района Новосибирской области от 28.09.2021 №59 "Об утверждении Положения о муниципальном земельном контроле в границах города Болотное Болотнинского района Новосибирской области"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>
        <w:t xml:space="preserve">1.2. </w:t>
      </w:r>
      <w:r w:rsidRPr="004632BA">
        <w:t>Разработчик муниципальног</w:t>
      </w:r>
      <w:r>
        <w:t>о нормативного правового акта: Администрация города Болотное Болотнинского района Новосибирской области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4632BA">
        <w:t>1.3. Контактная информация разработчика муниципального нормативного правового акта: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4632BA">
        <w:t xml:space="preserve">Ф.И.О.: </w:t>
      </w:r>
      <w:proofErr w:type="spellStart"/>
      <w:r>
        <w:t>Худоян</w:t>
      </w:r>
      <w:proofErr w:type="spellEnd"/>
      <w:r>
        <w:t xml:space="preserve"> Зарина </w:t>
      </w:r>
      <w:proofErr w:type="spellStart"/>
      <w:r>
        <w:t>Валодовна</w:t>
      </w:r>
      <w:proofErr w:type="spellEnd"/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4632BA">
        <w:t xml:space="preserve">Должность: </w:t>
      </w:r>
      <w:r>
        <w:t>Ведущий специалист отдела ЖКХ, имущества и земельных отношений администрации города Болотное Болотнинского района Новосибирской области</w:t>
      </w:r>
    </w:p>
    <w:p w:rsidR="00637B5C" w:rsidRPr="007050A0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4632BA">
        <w:t xml:space="preserve">Телефон, адрес электронной почты: </w:t>
      </w:r>
      <w:r>
        <w:t xml:space="preserve">8(383)4922-223, </w:t>
      </w:r>
      <w:hyperlink r:id="rId4" w:history="1">
        <w:r w:rsidRPr="00FD2925">
          <w:rPr>
            <w:rStyle w:val="a3"/>
            <w:lang w:val="en-US"/>
          </w:rPr>
          <w:t>gkh</w:t>
        </w:r>
        <w:r w:rsidRPr="00FD2925">
          <w:rPr>
            <w:rStyle w:val="a3"/>
          </w:rPr>
          <w:t>_</w:t>
        </w:r>
        <w:r w:rsidRPr="00FD2925">
          <w:rPr>
            <w:rStyle w:val="a3"/>
            <w:lang w:val="en-US"/>
          </w:rPr>
          <w:t>bolotnoe</w:t>
        </w:r>
        <w:r w:rsidRPr="00FD2925">
          <w:rPr>
            <w:rStyle w:val="a3"/>
          </w:rPr>
          <w:t>@</w:t>
        </w:r>
        <w:r w:rsidRPr="00FD2925">
          <w:rPr>
            <w:rStyle w:val="a3"/>
            <w:lang w:val="en-US"/>
          </w:rPr>
          <w:t>nso</w:t>
        </w:r>
        <w:r w:rsidRPr="00FD2925">
          <w:rPr>
            <w:rStyle w:val="a3"/>
          </w:rPr>
          <w:t>.</w:t>
        </w:r>
        <w:proofErr w:type="spellStart"/>
        <w:r w:rsidRPr="00FD2925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center"/>
        <w:outlineLvl w:val="1"/>
      </w:pP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center"/>
        <w:outlineLvl w:val="1"/>
      </w:pPr>
      <w:r w:rsidRPr="004632BA">
        <w:t>2. Информация о результатах проведенных публичных обсуждений.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4632BA">
        <w:t>2.1. Публ</w:t>
      </w:r>
      <w:r>
        <w:t xml:space="preserve">ичные обсуждения проводились с 01.09.2025 </w:t>
      </w:r>
      <w:r w:rsidRPr="004632BA">
        <w:t>по</w:t>
      </w:r>
      <w:r>
        <w:t xml:space="preserve"> 30.09.2025</w:t>
      </w:r>
    </w:p>
    <w:p w:rsidR="00637B5C" w:rsidRPr="006656B5" w:rsidRDefault="00637B5C" w:rsidP="00637B5C">
      <w:pPr>
        <w:widowControl w:val="0"/>
        <w:autoSpaceDE w:val="0"/>
        <w:autoSpaceDN w:val="0"/>
        <w:adjustRightInd w:val="0"/>
        <w:ind w:firstLine="284"/>
        <w:outlineLvl w:val="1"/>
      </w:pPr>
      <w:r w:rsidRPr="004632BA">
        <w:t xml:space="preserve">2.2. Способ направления ответов: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FB52A1">
          <w:rPr>
            <w:rStyle w:val="a3"/>
            <w:lang w:val="en-US"/>
          </w:rPr>
          <w:t>bolotnoe</w:t>
        </w:r>
        <w:r w:rsidRPr="00FB52A1">
          <w:rPr>
            <w:rStyle w:val="a3"/>
          </w:rPr>
          <w:t>_</w:t>
        </w:r>
        <w:r w:rsidRPr="00FB52A1">
          <w:rPr>
            <w:rStyle w:val="a3"/>
            <w:lang w:val="en-US"/>
          </w:rPr>
          <w:t>gorod</w:t>
        </w:r>
        <w:r w:rsidRPr="00FB52A1">
          <w:rPr>
            <w:rStyle w:val="a3"/>
          </w:rPr>
          <w:t>@</w:t>
        </w:r>
        <w:r w:rsidRPr="00FB52A1">
          <w:rPr>
            <w:rStyle w:val="a3"/>
            <w:lang w:val="en-US"/>
          </w:rPr>
          <w:t>nso</w:t>
        </w:r>
        <w:r w:rsidRPr="00FB52A1">
          <w:rPr>
            <w:rStyle w:val="a3"/>
          </w:rPr>
          <w:t>.</w:t>
        </w:r>
        <w:proofErr w:type="spellStart"/>
        <w:r w:rsidRPr="00FB52A1">
          <w:rPr>
            <w:rStyle w:val="a3"/>
            <w:lang w:val="en-US"/>
          </w:rPr>
          <w:t>ru</w:t>
        </w:r>
        <w:proofErr w:type="spellEnd"/>
      </w:hyperlink>
      <w:r w:rsidRPr="006656B5">
        <w:t xml:space="preserve">   </w:t>
      </w:r>
    </w:p>
    <w:p w:rsidR="00637B5C" w:rsidRPr="004632BA" w:rsidRDefault="00637B5C" w:rsidP="00637B5C">
      <w:pPr>
        <w:widowControl w:val="0"/>
        <w:tabs>
          <w:tab w:val="left" w:pos="1560"/>
          <w:tab w:val="left" w:pos="3261"/>
        </w:tabs>
        <w:autoSpaceDN w:val="0"/>
        <w:ind w:left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2.3. </w:t>
      </w:r>
      <w:r w:rsidRPr="004632BA">
        <w:rPr>
          <w:color w:val="000000"/>
          <w:lang w:bidi="ru-RU"/>
        </w:rPr>
        <w:t xml:space="preserve">Наименование </w:t>
      </w:r>
      <w:r w:rsidRPr="004632BA">
        <w:rPr>
          <w:bCs/>
          <w:color w:val="000000"/>
          <w:lang w:bidi="ru-RU"/>
        </w:rPr>
        <w:t>субъектов предпринимательской и иной экономической деятельности, принявших участие в публичных обсуждениях, содержание поступивших предложений (отдельно по каждому субъекту предпринимательской и иной экономической деятельности)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651"/>
      </w:tblGrid>
      <w:tr w:rsidR="00637B5C" w:rsidRPr="004632BA" w:rsidTr="001E06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5C" w:rsidRPr="004632BA" w:rsidRDefault="00637B5C" w:rsidP="001E0611">
            <w:pPr>
              <w:widowControl w:val="0"/>
              <w:ind w:firstLine="284"/>
              <w:jc w:val="center"/>
              <w:rPr>
                <w:rFonts w:eastAsia="Courier New"/>
              </w:rPr>
            </w:pPr>
            <w:r w:rsidRPr="004632BA">
              <w:rPr>
                <w:rFonts w:eastAsia="Courier New"/>
              </w:rPr>
              <w:t>Наименование субъектов предпринимательской и иной экономической деятельности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5C" w:rsidRPr="004632BA" w:rsidRDefault="00637B5C" w:rsidP="001E0611">
            <w:pPr>
              <w:widowControl w:val="0"/>
              <w:ind w:firstLine="284"/>
              <w:jc w:val="center"/>
              <w:rPr>
                <w:rFonts w:eastAsia="Courier New"/>
              </w:rPr>
            </w:pPr>
            <w:r w:rsidRPr="004632BA">
              <w:rPr>
                <w:rFonts w:eastAsia="Courier New"/>
              </w:rPr>
              <w:t>Содержание поступивших предложений</w:t>
            </w:r>
          </w:p>
        </w:tc>
      </w:tr>
      <w:tr w:rsidR="00637B5C" w:rsidRPr="004632BA" w:rsidTr="001E06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5C" w:rsidRPr="004632BA" w:rsidRDefault="00637B5C" w:rsidP="001E0611">
            <w:pPr>
              <w:widowControl w:val="0"/>
              <w:tabs>
                <w:tab w:val="left" w:pos="1560"/>
                <w:tab w:val="left" w:pos="3261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Субъекты предпринимательской и иной экономической деятельности в публичных обсуждениях участия не принимали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5C" w:rsidRPr="004632BA" w:rsidRDefault="00637B5C" w:rsidP="001E0611">
            <w:pPr>
              <w:widowControl w:val="0"/>
              <w:tabs>
                <w:tab w:val="left" w:pos="1560"/>
                <w:tab w:val="left" w:pos="3261"/>
              </w:tabs>
              <w:jc w:val="center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Предложения и замечания от субъектов предпринимательской и иной экономической деятельности в ходе публичных обсуждений не поступали</w:t>
            </w:r>
          </w:p>
        </w:tc>
      </w:tr>
    </w:tbl>
    <w:p w:rsidR="00637B5C" w:rsidRPr="004632BA" w:rsidRDefault="00637B5C" w:rsidP="00637B5C">
      <w:pPr>
        <w:widowControl w:val="0"/>
        <w:autoSpaceDE w:val="0"/>
        <w:autoSpaceDN w:val="0"/>
        <w:adjustRightInd w:val="0"/>
        <w:ind w:left="674"/>
        <w:jc w:val="center"/>
        <w:outlineLvl w:val="1"/>
      </w:pPr>
      <w:r w:rsidRPr="004632BA">
        <w:t>3.Общая характеристика обязательных требований.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jc w:val="both"/>
      </w:pPr>
      <w:r w:rsidRPr="00B83159">
        <w:t>Обязательные треб</w:t>
      </w:r>
      <w:bookmarkStart w:id="0" w:name="_GoBack"/>
      <w:bookmarkEnd w:id="0"/>
      <w:r w:rsidRPr="00B83159">
        <w:t>ования, установленные Положением, направлены на обеспечение соблюдения земельного законодательства, сохранение и рациональное использование земель на территории муниципального образования. Требования регламентируют порядок проведения проверок в рамках муниципального земельного контроля, а также содержат перечень обязательных для соблюдения землепользователями норм (содержание земельных участков, соблюдение целевого назначения земель, выполнение обязанностей по рекультивации и т.д.)</w:t>
      </w:r>
      <w:r>
        <w:t>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center"/>
        <w:outlineLvl w:val="1"/>
      </w:pPr>
      <w:r w:rsidRPr="004632BA">
        <w:t>4. Анализ результатов оценки достижения целей введения обязательных требований и соблюдения принципов, предусмотренных Федеральным законом от 31.07.2020 № 247-ФЗ «Об обязательных требованиях в Российской Федерации».</w:t>
      </w:r>
    </w:p>
    <w:p w:rsidR="00637B5C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>
        <w:t>В отчетном периоде плановые и внеплановые проверки в рамках действия оцениваемого муниципального нормативного правового акта не проводились.</w:t>
      </w:r>
    </w:p>
    <w:p w:rsidR="00637B5C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>
        <w:t xml:space="preserve">Несмотря на отсутствие формальных проверок, оценка достижения целей регулирования проводилась на основе мониторинга правоприменительной практики и анализа обращений </w:t>
      </w:r>
      <w:r>
        <w:lastRenderedPageBreak/>
        <w:t>граждан и организаций. Поступивших жалоб на нарушение обязательных требований, установленных Положением, не зафиксировано, что может косвенно свидетельствовать о достижении целей регулирования, связанных с правовой стабильностью и предсказуемостью.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>
        <w:t>Обязательные требования, содержащиеся в Положении, соответствуют принципам Федерального закона от 31.07.2020 № 247-ФЗ: они являются конкретными, исполнимыми, соразмерными заявленным целям и официально опубликованы, что обеспечивает их доступность для неопределенного круга лиц.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center"/>
        <w:outlineLvl w:val="1"/>
      </w:pPr>
      <w:r w:rsidRPr="004632BA">
        <w:t>5. Выявленные проблемы применения обязательных требований.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jc w:val="both"/>
        <w:outlineLvl w:val="1"/>
      </w:pPr>
      <w:r w:rsidRPr="00B83159">
        <w:t>Проблем в применении обязательных требований, содержащихся в Положении, за отчетный период не выявлено. Жалоб и обращений от правообладателей земельных участков на действия контролирующих органов и содержание требований не поступало.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center"/>
        <w:outlineLvl w:val="1"/>
      </w:pPr>
      <w:r w:rsidRPr="004632BA">
        <w:t>6. 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637B5C" w:rsidRPr="004632BA" w:rsidRDefault="00637B5C" w:rsidP="00637B5C">
      <w:pPr>
        <w:widowControl w:val="0"/>
        <w:autoSpaceDE w:val="0"/>
        <w:autoSpaceDN w:val="0"/>
        <w:adjustRightInd w:val="0"/>
        <w:ind w:firstLine="284"/>
        <w:jc w:val="both"/>
        <w:outlineLvl w:val="1"/>
      </w:pPr>
      <w:r w:rsidRPr="006656B5">
        <w:t xml:space="preserve">На основании проведенного анализа, учитывая достижение целей введения обязательных требований, их соответствие принципам Федерального закона № 247-ФЗ, а также отсутствие выявленных нарушений и проблем в </w:t>
      </w:r>
      <w:proofErr w:type="spellStart"/>
      <w:r w:rsidRPr="006656B5">
        <w:t>правоприменении</w:t>
      </w:r>
      <w:proofErr w:type="spellEnd"/>
      <w:r w:rsidRPr="006656B5">
        <w:t>, считается целесообразным продлить срок действия Положения</w:t>
      </w:r>
      <w:r>
        <w:t xml:space="preserve"> </w:t>
      </w:r>
      <w:r w:rsidRPr="007050A0">
        <w:t>о муниципальном земельном контроле в границах города Болотное Болотнинского района Новосибирской области</w:t>
      </w:r>
      <w:r w:rsidRPr="006656B5">
        <w:t xml:space="preserve"> без изменений.</w:t>
      </w: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  <w:r>
        <w:t>Глава города Болотное</w:t>
      </w:r>
    </w:p>
    <w:p w:rsidR="00637B5C" w:rsidRDefault="00637B5C" w:rsidP="00637B5C">
      <w:pPr>
        <w:widowControl w:val="0"/>
        <w:autoSpaceDE w:val="0"/>
        <w:autoSpaceDN w:val="0"/>
        <w:adjustRightInd w:val="0"/>
      </w:pPr>
      <w:r>
        <w:t>Болотнинского района                                                                                             С.Н. Кравец</w:t>
      </w:r>
    </w:p>
    <w:p w:rsidR="00637B5C" w:rsidRDefault="00637B5C" w:rsidP="00637B5C">
      <w:pPr>
        <w:widowControl w:val="0"/>
        <w:autoSpaceDE w:val="0"/>
        <w:autoSpaceDN w:val="0"/>
        <w:adjustRightInd w:val="0"/>
      </w:pPr>
      <w:r>
        <w:t>Новосибирской области</w:t>
      </w: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637B5C" w:rsidRDefault="00637B5C" w:rsidP="00637B5C">
      <w:pPr>
        <w:widowControl w:val="0"/>
        <w:autoSpaceDE w:val="0"/>
        <w:autoSpaceDN w:val="0"/>
        <w:adjustRightInd w:val="0"/>
      </w:pPr>
    </w:p>
    <w:p w:rsidR="00CF63E1" w:rsidRDefault="00637B5C"/>
    <w:sectPr w:rsidR="00CF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87"/>
    <w:rsid w:val="00401A18"/>
    <w:rsid w:val="004F489B"/>
    <w:rsid w:val="00637B5C"/>
    <w:rsid w:val="007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7224D-C3E5-4730-A1D6-CA5C586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lotnoe_gorod@nso.ru" TargetMode="External"/><Relationship Id="rId4" Type="http://schemas.openxmlformats.org/officeDocument/2006/relationships/hyperlink" Target="mailto:gkh_bolotnoe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Company>diakov.net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Андреевна Черникова</dc:creator>
  <cp:keywords/>
  <dc:description/>
  <cp:lastModifiedBy>Ольга Андреевна Черникова</cp:lastModifiedBy>
  <cp:revision>2</cp:revision>
  <dcterms:created xsi:type="dcterms:W3CDTF">2025-11-28T02:57:00Z</dcterms:created>
  <dcterms:modified xsi:type="dcterms:W3CDTF">2025-11-28T02:58:00Z</dcterms:modified>
</cp:coreProperties>
</file>