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C4" w:rsidRDefault="003D54D7">
      <w:pPr>
        <w:rPr>
          <w:b/>
          <w:sz w:val="28"/>
          <w:szCs w:val="28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F1619" id="AutoShap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cs="Calibri"/>
          <w:noProof/>
        </w:rPr>
        <w:drawing>
          <wp:inline distT="0" distB="0" distL="0" distR="0">
            <wp:extent cx="2219325" cy="895350"/>
            <wp:effectExtent l="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C4" w:rsidRDefault="00FC52C4">
      <w:pPr>
        <w:rPr>
          <w:b/>
          <w:sz w:val="28"/>
          <w:szCs w:val="28"/>
        </w:rPr>
      </w:pPr>
    </w:p>
    <w:p w:rsidR="00FC52C4" w:rsidRPr="001C1A6D" w:rsidRDefault="001C1A6D" w:rsidP="001C1A6D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</w:t>
      </w:r>
    </w:p>
    <w:p w:rsidR="00FC52C4" w:rsidRDefault="001C1A6D">
      <w:pPr>
        <w:jc w:val="center"/>
        <w:rPr>
          <w:rFonts w:ascii="Tinos" w:eastAsia="Tinos" w:hAnsi="Tinos" w:cs="Tinos"/>
          <w:b/>
          <w:sz w:val="28"/>
          <w:szCs w:val="28"/>
        </w:rPr>
      </w:pPr>
      <w:bookmarkStart w:id="0" w:name="_GoBack"/>
      <w:r>
        <w:rPr>
          <w:rFonts w:ascii="Tinos" w:eastAsia="Tinos" w:hAnsi="Tinos" w:cs="Tinos"/>
          <w:b/>
          <w:sz w:val="28"/>
          <w:szCs w:val="28"/>
        </w:rPr>
        <w:t xml:space="preserve">Услуги Росреестра в МФЦ </w:t>
      </w:r>
    </w:p>
    <w:bookmarkEnd w:id="0"/>
    <w:p w:rsidR="00FC52C4" w:rsidRDefault="00FC52C4"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FC52C4" w:rsidRDefault="001C1A6D">
      <w:pPr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Новосибирцы могут зарегистрировать свою недвижимость                              в максимально короткие сроки и получить качественные результаты оказанных услуг благодаря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успешной совместной работе Управления Росреестра по Новосибирской области и ГАУ НСО «МФЦ». 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Результаты регулярного анкетирования посетителей филиалов подтверждают высокий уровень качества предоставления услуг:                            99% респондентов ставят максимальную оценку компетентности специалистов ГАУ НСО «МФЦ» - 5 баллов. 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Помимо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приема и выдачи документов о государственной регистрации прав, постановке на государственный кадастровый учет и предоставлении сведений, содержащихся в Едином государственном реестре недвижимости, в филиалах </w:t>
      </w:r>
      <w:r>
        <w:rPr>
          <w:rFonts w:ascii="Tinos" w:hAnsi="Tinos" w:cs="Tinos"/>
          <w:color w:val="000000"/>
          <w:sz w:val="28"/>
          <w:szCs w:val="28"/>
        </w:rPr>
        <w:t>ГАУ НСО «МФЦ», при поддержке новосибирского Росреестра, реализован ряд проектов.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Самыми востребованными для заявителей стали: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-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«Час Росреестра – в МФЦ», консультация по любым вопросам                       в сфере регистрации недвижимости;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- «Регистрация в МФЦ за час», оперативное предоставление услуг                  в отношении </w:t>
      </w:r>
      <w:r>
        <w:rPr>
          <w:rFonts w:ascii="Tinos" w:hAnsi="Tinos" w:cs="Tinos"/>
          <w:color w:val="000000"/>
          <w:sz w:val="28"/>
          <w:szCs w:val="28"/>
        </w:rPr>
        <w:t>ранее возникших прав.</w:t>
      </w:r>
    </w:p>
    <w:p w:rsidR="00FC52C4" w:rsidRDefault="001C1A6D">
      <w:pPr>
        <w:ind w:firstLine="709"/>
        <w:jc w:val="both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«Благодаря многолетнему партнерству выработан высокий стандарт предоставления государственных услуг в сфере недвижимости. МФЦ                       и Управление разрабатывают и внедряют новые схемы взаимодействия, которые делают процесс получения услуг Росреестра доступным и удобным для граждан. Один из примеров — дополнительный способ оплаты госпошлины непосредственно в момент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lastRenderedPageBreak/>
        <w:t>подачи документов по УИН, который позволяет заявителям безопасно и быстро, в режиме онлайн, произвести оплату за учетно-регистрационные действия»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–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директор ГАУ НСО «МФЦ» Оксана Максимова.</w:t>
      </w:r>
    </w:p>
    <w:p w:rsidR="00FC52C4" w:rsidRDefault="001C1A6D">
      <w:pPr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Управление Росреестра по Новосибирской области поздравляет работников </w:t>
      </w:r>
      <w:r>
        <w:rPr>
          <w:rFonts w:ascii="Tinos" w:hAnsi="Tinos" w:cs="Tinos"/>
          <w:color w:val="000000"/>
          <w:sz w:val="28"/>
          <w:szCs w:val="28"/>
        </w:rPr>
        <w:t>ГАУ НСО «МФЦ»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 их профессиональным праздником                            и благодарит за качественную совместную работу, желает сотрудникам благополучия, здоровья и счастья, а организации – успехов и дальнейшего процветания.</w:t>
      </w:r>
    </w:p>
    <w:p w:rsidR="00FC52C4" w:rsidRDefault="00FC52C4">
      <w:pPr>
        <w:ind w:firstLine="709"/>
        <w:jc w:val="both"/>
        <w:rPr>
          <w:rFonts w:ascii="Tinos" w:hAnsi="Tinos" w:cs="Tinos"/>
          <w:sz w:val="28"/>
          <w:szCs w:val="28"/>
        </w:rPr>
      </w:pPr>
    </w:p>
    <w:p w:rsidR="00FC52C4" w:rsidRDefault="00FC52C4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</w:p>
    <w:p w:rsidR="00FC52C4" w:rsidRDefault="00FC52C4">
      <w:pPr>
        <w:ind w:firstLine="720"/>
        <w:jc w:val="both"/>
        <w:rPr>
          <w:sz w:val="26"/>
          <w:szCs w:val="26"/>
        </w:rPr>
      </w:pPr>
    </w:p>
    <w:p w:rsidR="00FC52C4" w:rsidRDefault="00FC52C4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FC52C4" w:rsidRDefault="00FC52C4">
      <w:pPr>
        <w:spacing w:line="360" w:lineRule="auto"/>
        <w:ind w:firstLine="709"/>
        <w:jc w:val="both"/>
        <w:rPr>
          <w:sz w:val="28"/>
          <w:szCs w:val="28"/>
        </w:rPr>
      </w:pPr>
    </w:p>
    <w:p w:rsidR="00FC52C4" w:rsidRDefault="00FC52C4">
      <w:pPr>
        <w:jc w:val="both"/>
        <w:rPr>
          <w:sz w:val="28"/>
          <w:szCs w:val="28"/>
        </w:rPr>
      </w:pPr>
    </w:p>
    <w:p w:rsidR="00FC52C4" w:rsidRDefault="001C1A6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C52C4" w:rsidRDefault="001C1A6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C52C4" w:rsidRDefault="00FC52C4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C52C4" w:rsidRDefault="003D54D7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3488055" cy="0"/>
                <wp:effectExtent l="5715" t="13970" r="11430" b="508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19575" id="shape 1" o:spid="_x0000_s1026" style="position:absolute;margin-left:-3.3pt;margin-top:7.1pt;width:27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" path="m,l,100000r100000,l100000,,,xe" filled="f" strokecolor="#0070c0">
                <v:path o:connecttype="custom" o:connectlocs="0,0;0,1;3488055,1;3488055,0" o:connectangles="0,0,0,0" textboxrect="0,0,100000,0"/>
              </v:shape>
            </w:pict>
          </mc:Fallback>
        </mc:AlternateContent>
      </w:r>
    </w:p>
    <w:p w:rsidR="00FC52C4" w:rsidRDefault="001C1A6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C52C4" w:rsidRDefault="001C1A6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C52C4" w:rsidRDefault="00FC52C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C52C4" w:rsidRDefault="001C1A6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C52C4" w:rsidRDefault="001C1A6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C52C4" w:rsidRDefault="001C1A6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C52C4" w:rsidRDefault="001C1A6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1C1A6D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C52C4" w:rsidRDefault="0027617F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1C1A6D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1C1A6D" w:rsidRPr="001C1A6D">
          <w:rPr>
            <w:rStyle w:val="ac"/>
            <w:rFonts w:ascii="Segoe UI" w:hAnsi="Segoe UI" w:cs="Segoe UI"/>
            <w:sz w:val="18"/>
            <w:szCs w:val="20"/>
          </w:rPr>
          <w:t>@</w:t>
        </w:r>
        <w:r w:rsidR="001C1A6D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1C1A6D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1C1A6D" w:rsidRPr="001C1A6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1C1A6D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1C1A6D" w:rsidRPr="001C1A6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1C1A6D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1C1A6D" w:rsidRPr="001C1A6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C52C4" w:rsidRPr="001C1A6D" w:rsidRDefault="001C1A6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1C1A6D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1C1A6D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C52C4" w:rsidRDefault="001C1A6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1C1A6D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1C1A6D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1C1A6D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</w:pPr>
    </w:p>
    <w:p w:rsidR="00FC52C4" w:rsidRDefault="00FC52C4">
      <w:pPr>
        <w:jc w:val="both"/>
        <w:rPr>
          <w:sz w:val="28"/>
          <w:szCs w:val="28"/>
        </w:rPr>
      </w:pPr>
    </w:p>
    <w:p w:rsidR="00FC52C4" w:rsidRDefault="00FC52C4">
      <w:pPr>
        <w:jc w:val="both"/>
        <w:rPr>
          <w:sz w:val="28"/>
          <w:szCs w:val="28"/>
        </w:rPr>
      </w:pPr>
    </w:p>
    <w:sectPr w:rsidR="00FC52C4" w:rsidSect="00FC52C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7F" w:rsidRDefault="0027617F">
      <w:r>
        <w:separator/>
      </w:r>
    </w:p>
  </w:endnote>
  <w:endnote w:type="continuationSeparator" w:id="0">
    <w:p w:rsidR="0027617F" w:rsidRDefault="002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7F" w:rsidRDefault="0027617F">
      <w:r>
        <w:separator/>
      </w:r>
    </w:p>
  </w:footnote>
  <w:footnote w:type="continuationSeparator" w:id="0">
    <w:p w:rsidR="0027617F" w:rsidRDefault="0027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600C"/>
    <w:multiLevelType w:val="hybridMultilevel"/>
    <w:tmpl w:val="D6F88638"/>
    <w:lvl w:ilvl="0" w:tplc="91C8389E">
      <w:start w:val="1"/>
      <w:numFmt w:val="decimal"/>
      <w:lvlText w:val="%1."/>
      <w:lvlJc w:val="left"/>
      <w:pPr>
        <w:ind w:left="6740" w:hanging="360"/>
      </w:pPr>
    </w:lvl>
    <w:lvl w:ilvl="1" w:tplc="69FA1F8E">
      <w:start w:val="1"/>
      <w:numFmt w:val="lowerLetter"/>
      <w:lvlText w:val="%2."/>
      <w:lvlJc w:val="left"/>
      <w:pPr>
        <w:ind w:left="1440" w:hanging="360"/>
      </w:pPr>
    </w:lvl>
    <w:lvl w:ilvl="2" w:tplc="F41A3B80">
      <w:start w:val="1"/>
      <w:numFmt w:val="lowerRoman"/>
      <w:lvlText w:val="%3."/>
      <w:lvlJc w:val="right"/>
      <w:pPr>
        <w:ind w:left="2160" w:hanging="180"/>
      </w:pPr>
    </w:lvl>
    <w:lvl w:ilvl="3" w:tplc="FDBCA388">
      <w:start w:val="1"/>
      <w:numFmt w:val="decimal"/>
      <w:lvlText w:val="%4."/>
      <w:lvlJc w:val="left"/>
      <w:pPr>
        <w:ind w:left="2880" w:hanging="360"/>
      </w:pPr>
    </w:lvl>
    <w:lvl w:ilvl="4" w:tplc="351CF43A">
      <w:start w:val="1"/>
      <w:numFmt w:val="lowerLetter"/>
      <w:lvlText w:val="%5."/>
      <w:lvlJc w:val="left"/>
      <w:pPr>
        <w:ind w:left="3600" w:hanging="360"/>
      </w:pPr>
    </w:lvl>
    <w:lvl w:ilvl="5" w:tplc="1F402048">
      <w:start w:val="1"/>
      <w:numFmt w:val="lowerRoman"/>
      <w:lvlText w:val="%6."/>
      <w:lvlJc w:val="right"/>
      <w:pPr>
        <w:ind w:left="4320" w:hanging="180"/>
      </w:pPr>
    </w:lvl>
    <w:lvl w:ilvl="6" w:tplc="EC2AA4FC">
      <w:start w:val="1"/>
      <w:numFmt w:val="decimal"/>
      <w:lvlText w:val="%7."/>
      <w:lvlJc w:val="left"/>
      <w:pPr>
        <w:ind w:left="5040" w:hanging="360"/>
      </w:pPr>
    </w:lvl>
    <w:lvl w:ilvl="7" w:tplc="D1A2B546">
      <w:start w:val="1"/>
      <w:numFmt w:val="lowerLetter"/>
      <w:lvlText w:val="%8."/>
      <w:lvlJc w:val="left"/>
      <w:pPr>
        <w:ind w:left="5760" w:hanging="360"/>
      </w:pPr>
    </w:lvl>
    <w:lvl w:ilvl="8" w:tplc="D8CE0C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58F"/>
    <w:multiLevelType w:val="hybridMultilevel"/>
    <w:tmpl w:val="34DE83F4"/>
    <w:lvl w:ilvl="0" w:tplc="A38CC626">
      <w:start w:val="1"/>
      <w:numFmt w:val="decimal"/>
      <w:lvlText w:val="%1)"/>
      <w:lvlJc w:val="left"/>
      <w:pPr>
        <w:ind w:left="720" w:hanging="360"/>
      </w:pPr>
    </w:lvl>
    <w:lvl w:ilvl="1" w:tplc="33F24F7A">
      <w:start w:val="1"/>
      <w:numFmt w:val="lowerLetter"/>
      <w:lvlText w:val="%2."/>
      <w:lvlJc w:val="left"/>
      <w:pPr>
        <w:ind w:left="1440" w:hanging="360"/>
      </w:pPr>
    </w:lvl>
    <w:lvl w:ilvl="2" w:tplc="948C485A">
      <w:start w:val="1"/>
      <w:numFmt w:val="lowerRoman"/>
      <w:lvlText w:val="%3."/>
      <w:lvlJc w:val="right"/>
      <w:pPr>
        <w:ind w:left="2160" w:hanging="180"/>
      </w:pPr>
    </w:lvl>
    <w:lvl w:ilvl="3" w:tplc="F272A35A">
      <w:start w:val="1"/>
      <w:numFmt w:val="decimal"/>
      <w:lvlText w:val="%4."/>
      <w:lvlJc w:val="left"/>
      <w:pPr>
        <w:ind w:left="2880" w:hanging="360"/>
      </w:pPr>
    </w:lvl>
    <w:lvl w:ilvl="4" w:tplc="4DD8D7E8">
      <w:start w:val="1"/>
      <w:numFmt w:val="lowerLetter"/>
      <w:lvlText w:val="%5."/>
      <w:lvlJc w:val="left"/>
      <w:pPr>
        <w:ind w:left="3600" w:hanging="360"/>
      </w:pPr>
    </w:lvl>
    <w:lvl w:ilvl="5" w:tplc="7C88CF62">
      <w:start w:val="1"/>
      <w:numFmt w:val="lowerRoman"/>
      <w:lvlText w:val="%6."/>
      <w:lvlJc w:val="right"/>
      <w:pPr>
        <w:ind w:left="4320" w:hanging="180"/>
      </w:pPr>
    </w:lvl>
    <w:lvl w:ilvl="6" w:tplc="905E0DE2">
      <w:start w:val="1"/>
      <w:numFmt w:val="decimal"/>
      <w:lvlText w:val="%7."/>
      <w:lvlJc w:val="left"/>
      <w:pPr>
        <w:ind w:left="5040" w:hanging="360"/>
      </w:pPr>
    </w:lvl>
    <w:lvl w:ilvl="7" w:tplc="E8EA1FEA">
      <w:start w:val="1"/>
      <w:numFmt w:val="lowerLetter"/>
      <w:lvlText w:val="%8."/>
      <w:lvlJc w:val="left"/>
      <w:pPr>
        <w:ind w:left="5760" w:hanging="360"/>
      </w:pPr>
    </w:lvl>
    <w:lvl w:ilvl="8" w:tplc="A6E059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7530D"/>
    <w:multiLevelType w:val="hybridMultilevel"/>
    <w:tmpl w:val="E6387BEA"/>
    <w:lvl w:ilvl="0" w:tplc="639250A2">
      <w:start w:val="1"/>
      <w:numFmt w:val="decimal"/>
      <w:lvlText w:val="%1)"/>
      <w:lvlJc w:val="left"/>
      <w:pPr>
        <w:ind w:left="907" w:hanging="360"/>
      </w:pPr>
    </w:lvl>
    <w:lvl w:ilvl="1" w:tplc="D592E428">
      <w:start w:val="1"/>
      <w:numFmt w:val="lowerLetter"/>
      <w:lvlText w:val="%2."/>
      <w:lvlJc w:val="left"/>
      <w:pPr>
        <w:ind w:left="1627" w:hanging="360"/>
      </w:pPr>
    </w:lvl>
    <w:lvl w:ilvl="2" w:tplc="80085792">
      <w:start w:val="1"/>
      <w:numFmt w:val="lowerRoman"/>
      <w:lvlText w:val="%3."/>
      <w:lvlJc w:val="right"/>
      <w:pPr>
        <w:ind w:left="2347" w:hanging="180"/>
      </w:pPr>
    </w:lvl>
    <w:lvl w:ilvl="3" w:tplc="EADEF3BA">
      <w:start w:val="1"/>
      <w:numFmt w:val="decimal"/>
      <w:lvlText w:val="%4."/>
      <w:lvlJc w:val="left"/>
      <w:pPr>
        <w:ind w:left="3067" w:hanging="360"/>
      </w:pPr>
    </w:lvl>
    <w:lvl w:ilvl="4" w:tplc="D8220BBC">
      <w:start w:val="1"/>
      <w:numFmt w:val="lowerLetter"/>
      <w:lvlText w:val="%5."/>
      <w:lvlJc w:val="left"/>
      <w:pPr>
        <w:ind w:left="3787" w:hanging="360"/>
      </w:pPr>
    </w:lvl>
    <w:lvl w:ilvl="5" w:tplc="A67C73DC">
      <w:start w:val="1"/>
      <w:numFmt w:val="lowerRoman"/>
      <w:lvlText w:val="%6."/>
      <w:lvlJc w:val="right"/>
      <w:pPr>
        <w:ind w:left="4507" w:hanging="180"/>
      </w:pPr>
    </w:lvl>
    <w:lvl w:ilvl="6" w:tplc="5C40905A">
      <w:start w:val="1"/>
      <w:numFmt w:val="decimal"/>
      <w:lvlText w:val="%7."/>
      <w:lvlJc w:val="left"/>
      <w:pPr>
        <w:ind w:left="5227" w:hanging="360"/>
      </w:pPr>
    </w:lvl>
    <w:lvl w:ilvl="7" w:tplc="2F427DEA">
      <w:start w:val="1"/>
      <w:numFmt w:val="lowerLetter"/>
      <w:lvlText w:val="%8."/>
      <w:lvlJc w:val="left"/>
      <w:pPr>
        <w:ind w:left="5947" w:hanging="360"/>
      </w:pPr>
    </w:lvl>
    <w:lvl w:ilvl="8" w:tplc="1BE68B32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E1F2576"/>
    <w:multiLevelType w:val="hybridMultilevel"/>
    <w:tmpl w:val="B216A84A"/>
    <w:lvl w:ilvl="0" w:tplc="B0820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00C5E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569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D2A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546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3E5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225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1AC9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E096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925FBF"/>
    <w:multiLevelType w:val="hybridMultilevel"/>
    <w:tmpl w:val="ECCCEF32"/>
    <w:lvl w:ilvl="0" w:tplc="E6923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7C2993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4FD05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C44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E8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FF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10C1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DA1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7387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512B21"/>
    <w:multiLevelType w:val="hybridMultilevel"/>
    <w:tmpl w:val="ABDA359E"/>
    <w:lvl w:ilvl="0" w:tplc="79FE89BE">
      <w:start w:val="1"/>
      <w:numFmt w:val="decimal"/>
      <w:lvlText w:val="%1)"/>
      <w:lvlJc w:val="left"/>
      <w:pPr>
        <w:ind w:left="907" w:hanging="360"/>
      </w:pPr>
    </w:lvl>
    <w:lvl w:ilvl="1" w:tplc="CCF8D4D0">
      <w:start w:val="1"/>
      <w:numFmt w:val="lowerLetter"/>
      <w:lvlText w:val="%2."/>
      <w:lvlJc w:val="left"/>
      <w:pPr>
        <w:ind w:left="1627" w:hanging="360"/>
      </w:pPr>
    </w:lvl>
    <w:lvl w:ilvl="2" w:tplc="C3AE82BC">
      <w:start w:val="1"/>
      <w:numFmt w:val="lowerRoman"/>
      <w:lvlText w:val="%3."/>
      <w:lvlJc w:val="right"/>
      <w:pPr>
        <w:ind w:left="2347" w:hanging="180"/>
      </w:pPr>
    </w:lvl>
    <w:lvl w:ilvl="3" w:tplc="F4527422">
      <w:start w:val="1"/>
      <w:numFmt w:val="decimal"/>
      <w:lvlText w:val="%4."/>
      <w:lvlJc w:val="left"/>
      <w:pPr>
        <w:ind w:left="3067" w:hanging="360"/>
      </w:pPr>
    </w:lvl>
    <w:lvl w:ilvl="4" w:tplc="9F0E6B52">
      <w:start w:val="1"/>
      <w:numFmt w:val="lowerLetter"/>
      <w:lvlText w:val="%5."/>
      <w:lvlJc w:val="left"/>
      <w:pPr>
        <w:ind w:left="3787" w:hanging="360"/>
      </w:pPr>
    </w:lvl>
    <w:lvl w:ilvl="5" w:tplc="90CA1708">
      <w:start w:val="1"/>
      <w:numFmt w:val="lowerRoman"/>
      <w:lvlText w:val="%6."/>
      <w:lvlJc w:val="right"/>
      <w:pPr>
        <w:ind w:left="4507" w:hanging="180"/>
      </w:pPr>
    </w:lvl>
    <w:lvl w:ilvl="6" w:tplc="E8EC516A">
      <w:start w:val="1"/>
      <w:numFmt w:val="decimal"/>
      <w:lvlText w:val="%7."/>
      <w:lvlJc w:val="left"/>
      <w:pPr>
        <w:ind w:left="5227" w:hanging="360"/>
      </w:pPr>
    </w:lvl>
    <w:lvl w:ilvl="7" w:tplc="C9E050A0">
      <w:start w:val="1"/>
      <w:numFmt w:val="lowerLetter"/>
      <w:lvlText w:val="%8."/>
      <w:lvlJc w:val="left"/>
      <w:pPr>
        <w:ind w:left="5947" w:hanging="360"/>
      </w:pPr>
    </w:lvl>
    <w:lvl w:ilvl="8" w:tplc="84BA7BAC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66231B8E"/>
    <w:multiLevelType w:val="hybridMultilevel"/>
    <w:tmpl w:val="939AE346"/>
    <w:lvl w:ilvl="0" w:tplc="75663078">
      <w:start w:val="1"/>
      <w:numFmt w:val="decimal"/>
      <w:lvlText w:val="%1."/>
      <w:lvlJc w:val="left"/>
      <w:pPr>
        <w:ind w:left="720" w:hanging="360"/>
      </w:pPr>
    </w:lvl>
    <w:lvl w:ilvl="1" w:tplc="CCE609C8">
      <w:start w:val="1"/>
      <w:numFmt w:val="lowerLetter"/>
      <w:lvlText w:val="%2."/>
      <w:lvlJc w:val="left"/>
      <w:pPr>
        <w:ind w:left="1440" w:hanging="360"/>
      </w:pPr>
    </w:lvl>
    <w:lvl w:ilvl="2" w:tplc="B074C3EA">
      <w:start w:val="1"/>
      <w:numFmt w:val="lowerRoman"/>
      <w:lvlText w:val="%3."/>
      <w:lvlJc w:val="right"/>
      <w:pPr>
        <w:ind w:left="2160" w:hanging="180"/>
      </w:pPr>
    </w:lvl>
    <w:lvl w:ilvl="3" w:tplc="75663976">
      <w:start w:val="1"/>
      <w:numFmt w:val="decimal"/>
      <w:lvlText w:val="%4."/>
      <w:lvlJc w:val="left"/>
      <w:pPr>
        <w:ind w:left="2880" w:hanging="360"/>
      </w:pPr>
    </w:lvl>
    <w:lvl w:ilvl="4" w:tplc="CC101C6E">
      <w:start w:val="1"/>
      <w:numFmt w:val="lowerLetter"/>
      <w:lvlText w:val="%5."/>
      <w:lvlJc w:val="left"/>
      <w:pPr>
        <w:ind w:left="3600" w:hanging="360"/>
      </w:pPr>
    </w:lvl>
    <w:lvl w:ilvl="5" w:tplc="22B495FE">
      <w:start w:val="1"/>
      <w:numFmt w:val="lowerRoman"/>
      <w:lvlText w:val="%6."/>
      <w:lvlJc w:val="right"/>
      <w:pPr>
        <w:ind w:left="4320" w:hanging="180"/>
      </w:pPr>
    </w:lvl>
    <w:lvl w:ilvl="6" w:tplc="BCA82A04">
      <w:start w:val="1"/>
      <w:numFmt w:val="decimal"/>
      <w:lvlText w:val="%7."/>
      <w:lvlJc w:val="left"/>
      <w:pPr>
        <w:ind w:left="5040" w:hanging="360"/>
      </w:pPr>
    </w:lvl>
    <w:lvl w:ilvl="7" w:tplc="5EEE4ED2">
      <w:start w:val="1"/>
      <w:numFmt w:val="lowerLetter"/>
      <w:lvlText w:val="%8."/>
      <w:lvlJc w:val="left"/>
      <w:pPr>
        <w:ind w:left="5760" w:hanging="360"/>
      </w:pPr>
    </w:lvl>
    <w:lvl w:ilvl="8" w:tplc="32C899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A20B0"/>
    <w:multiLevelType w:val="hybridMultilevel"/>
    <w:tmpl w:val="55400014"/>
    <w:lvl w:ilvl="0" w:tplc="648EF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B2802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6FAC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FC60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B88C1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33E5D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D624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FD09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5A4B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C4"/>
    <w:rsid w:val="001C1A6D"/>
    <w:rsid w:val="0027617F"/>
    <w:rsid w:val="003D54D7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F8839-1479-4F53-83CA-4EF7C858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C4"/>
    <w:rPr>
      <w:sz w:val="24"/>
      <w:szCs w:val="24"/>
      <w:lang w:eastAsia="ru-RU"/>
    </w:rPr>
  </w:style>
  <w:style w:type="paragraph" w:styleId="3">
    <w:name w:val="heading 3"/>
    <w:basedOn w:val="a"/>
    <w:qFormat/>
    <w:rsid w:val="00FC52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C52C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C52C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C52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C52C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C52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C52C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C52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C52C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C52C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C52C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C52C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C52C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C52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C52C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C52C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C52C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C52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C52C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52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C52C4"/>
  </w:style>
  <w:style w:type="paragraph" w:styleId="a5">
    <w:name w:val="Title"/>
    <w:basedOn w:val="a"/>
    <w:link w:val="a6"/>
    <w:qFormat/>
    <w:rsid w:val="00FC52C4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uiPriority w:val="10"/>
    <w:rsid w:val="00FC52C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C52C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C52C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52C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52C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C5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52C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C52C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C52C4"/>
  </w:style>
  <w:style w:type="paragraph" w:customStyle="1" w:styleId="10">
    <w:name w:val="Нижний колонтитул1"/>
    <w:basedOn w:val="a"/>
    <w:link w:val="CaptionChar"/>
    <w:uiPriority w:val="99"/>
    <w:unhideWhenUsed/>
    <w:rsid w:val="00FC5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C52C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C52C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C52C4"/>
  </w:style>
  <w:style w:type="table" w:styleId="ab">
    <w:name w:val="Table Grid"/>
    <w:basedOn w:val="a1"/>
    <w:rsid w:val="00FC52C4"/>
    <w:tblPr/>
  </w:style>
  <w:style w:type="table" w:customStyle="1" w:styleId="TableGridLight">
    <w:name w:val="Table Grid Light"/>
    <w:uiPriority w:val="59"/>
    <w:rsid w:val="00FC52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C52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C52C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C52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C52C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C52C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C52C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C52C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C52C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C52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C52C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C52C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C52C4"/>
    <w:rPr>
      <w:sz w:val="18"/>
    </w:rPr>
  </w:style>
  <w:style w:type="character" w:styleId="af">
    <w:name w:val="footnote reference"/>
    <w:uiPriority w:val="99"/>
    <w:unhideWhenUsed/>
    <w:rsid w:val="00FC52C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C52C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C52C4"/>
    <w:rPr>
      <w:sz w:val="20"/>
    </w:rPr>
  </w:style>
  <w:style w:type="character" w:styleId="af2">
    <w:name w:val="endnote reference"/>
    <w:uiPriority w:val="99"/>
    <w:semiHidden/>
    <w:unhideWhenUsed/>
    <w:rsid w:val="00FC52C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C52C4"/>
    <w:pPr>
      <w:spacing w:after="57"/>
    </w:pPr>
  </w:style>
  <w:style w:type="paragraph" w:styleId="22">
    <w:name w:val="toc 2"/>
    <w:basedOn w:val="a"/>
    <w:next w:val="a"/>
    <w:uiPriority w:val="39"/>
    <w:unhideWhenUsed/>
    <w:rsid w:val="00FC52C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C52C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52C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52C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52C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52C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52C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52C4"/>
    <w:pPr>
      <w:spacing w:after="57"/>
      <w:ind w:left="2268"/>
    </w:pPr>
  </w:style>
  <w:style w:type="paragraph" w:styleId="af3">
    <w:name w:val="TOC Heading"/>
    <w:uiPriority w:val="39"/>
    <w:unhideWhenUsed/>
    <w:rsid w:val="00FC52C4"/>
  </w:style>
  <w:style w:type="paragraph" w:styleId="af4">
    <w:name w:val="table of figures"/>
    <w:basedOn w:val="a"/>
    <w:next w:val="a"/>
    <w:uiPriority w:val="99"/>
    <w:unhideWhenUsed/>
    <w:rsid w:val="00FC52C4"/>
  </w:style>
  <w:style w:type="paragraph" w:styleId="af5">
    <w:name w:val="Balloon Text"/>
    <w:basedOn w:val="a"/>
    <w:semiHidden/>
    <w:rsid w:val="00FC52C4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FC52C4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FC52C4"/>
    <w:pPr>
      <w:spacing w:after="120"/>
    </w:pPr>
  </w:style>
  <w:style w:type="paragraph" w:styleId="af8">
    <w:name w:val="Normal (Web)"/>
    <w:basedOn w:val="a"/>
    <w:uiPriority w:val="99"/>
    <w:rsid w:val="00FC52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52C4"/>
  </w:style>
  <w:style w:type="character" w:customStyle="1" w:styleId="visited">
    <w:name w:val="visited"/>
    <w:basedOn w:val="a0"/>
    <w:rsid w:val="00FC52C4"/>
  </w:style>
  <w:style w:type="character" w:customStyle="1" w:styleId="blk">
    <w:name w:val="blk"/>
    <w:basedOn w:val="a0"/>
    <w:rsid w:val="00FC52C4"/>
  </w:style>
  <w:style w:type="character" w:customStyle="1" w:styleId="match">
    <w:name w:val="match"/>
    <w:basedOn w:val="a0"/>
    <w:rsid w:val="00FC52C4"/>
  </w:style>
  <w:style w:type="paragraph" w:customStyle="1" w:styleId="formattexttopleveltext">
    <w:name w:val="formattext topleveltext"/>
    <w:basedOn w:val="a"/>
    <w:rsid w:val="00FC52C4"/>
    <w:pPr>
      <w:spacing w:before="100" w:beforeAutospacing="1" w:after="100" w:afterAutospacing="1"/>
    </w:pPr>
  </w:style>
  <w:style w:type="paragraph" w:styleId="23">
    <w:name w:val="Body Text Indent 2"/>
    <w:basedOn w:val="a"/>
    <w:rsid w:val="00FC52C4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FC52C4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FC52C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FC52C4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FC52C4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FC52C4"/>
    <w:rPr>
      <w:b/>
      <w:bCs/>
    </w:rPr>
  </w:style>
  <w:style w:type="character" w:styleId="afb">
    <w:name w:val="Emphasis"/>
    <w:uiPriority w:val="20"/>
    <w:qFormat/>
    <w:rsid w:val="00FC52C4"/>
    <w:rPr>
      <w:i/>
      <w:iCs/>
    </w:rPr>
  </w:style>
  <w:style w:type="paragraph" w:customStyle="1" w:styleId="Standard">
    <w:name w:val="Standard"/>
    <w:qFormat/>
    <w:rsid w:val="00FC52C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Ольга Андреевна Черникова</cp:lastModifiedBy>
  <cp:revision>2</cp:revision>
  <dcterms:created xsi:type="dcterms:W3CDTF">2025-07-30T02:49:00Z</dcterms:created>
  <dcterms:modified xsi:type="dcterms:W3CDTF">2025-07-30T02:49:00Z</dcterms:modified>
  <cp:version>917504</cp:version>
</cp:coreProperties>
</file>